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F6" w:rsidRPr="00D667F6" w:rsidRDefault="00D667F6" w:rsidP="00BF3F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ФГОС</w:t>
      </w:r>
    </w:p>
    <w:p w:rsidR="00D667F6" w:rsidRPr="00D667F6" w:rsidRDefault="00D667F6" w:rsidP="00BF3F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br/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br/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О переходе на Федеральный государственный образовательный стандарт основного общего образования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2010 г. № 1897. Введение в действие ФГОС ООО на институциональном уровне может осуществляться с 01 сентября 2012 года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по мере готовности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</w:t>
      </w: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с 01 сентября 2015 года.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Ведущие принципы ФГОС общего образования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Выпускник начальной школы — это школьник,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самостоятельно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метапредметным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 предметным результатам. Новое понимание результативности образования, заложенное во ФГОС НОО и ФГОС ООО, заставляет по-новому осмыслить проблему преемственности начальной и основной ступеней общего образования.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кадровых;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- финансово-экономических;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материально-технических;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психолого-педагогических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информационно-методических.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Критерии готовности образовательного учреждения к введению ФГОС ООО: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разработана и утверждена основная образовательная программа (ООП) основного общего образования образовательного учреждения;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ООО (цели образовательного процесса, режим занятий, финансирование, материально-техническое обеспечение и т.п.);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в соответствии с ФГОС ООО;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ФГОС;</w:t>
      </w:r>
    </w:p>
    <w:p w:rsidR="00D667F6" w:rsidRPr="00D667F6" w:rsidRDefault="00D667F6" w:rsidP="00BF3F20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осуществлено повышение квалификации всех учителей основной школы (учителей-предметников) и других педагогических работников (возможно поэтапно по мере введения ФГОС общего образования).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Нормативная база введения ФГОС ООО обеспечивается следующими документами: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Национальная образовательная инициатива «Наша новая школа».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План действий по модернизации общего образования на 2011–2015 годы.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Федеральная целевая программа развития образования на 2011–2015 годы.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Приказ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Приказ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Mинздравсоцразвития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Приказ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Приказ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При введении ФГОС ООО следует руководствоваться следующими документами федерального уровня: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образованияи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науки Российской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Федерацииот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17 декабря 2010 г. № 1897).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Примерные основные образовательные программы начального и основного общего образования.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 xml:space="preserve">Инструктивно-методические письма Департамента общего образования </w:t>
      </w:r>
      <w:proofErr w:type="spellStart"/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 xml:space="preserve"> России: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 методике оценки уровня квалификации педагогических работников (от 29.11.2010№ 03339);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Минобрнауки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России от 24.11.2011 № МД1552/03).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lastRenderedPageBreak/>
        <w:t xml:space="preserve">Поэтапное введение Федерального государственного образовательного стандарта общего образования. </w:t>
      </w:r>
    </w:p>
    <w:p w:rsidR="00D667F6" w:rsidRPr="00D667F6" w:rsidRDefault="00D667F6" w:rsidP="00BF3F20">
      <w:pPr>
        <w:shd w:val="clear" w:color="auto" w:fill="FFFFFF" w:themeFill="background1"/>
        <w:spacing w:before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образованияна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2011/15 годы», переход на ФГОС ступеней общего образования осуществляется в соответствии со следующим графиком:</w:t>
      </w:r>
    </w:p>
    <w:tbl>
      <w:tblPr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716"/>
        <w:gridCol w:w="715"/>
        <w:gridCol w:w="715"/>
        <w:gridCol w:w="715"/>
        <w:gridCol w:w="715"/>
        <w:gridCol w:w="715"/>
        <w:gridCol w:w="730"/>
        <w:gridCol w:w="730"/>
        <w:gridCol w:w="730"/>
        <w:gridCol w:w="732"/>
        <w:gridCol w:w="732"/>
      </w:tblGrid>
      <w:tr w:rsidR="00D667F6" w:rsidRPr="00D667F6" w:rsidTr="00D667F6">
        <w:trPr>
          <w:trHeight w:val="90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935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Классы, переходящие на ФГОС</w:t>
            </w: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2010/11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</w:tr>
      <w:tr w:rsidR="00D667F6" w:rsidRPr="00D667F6" w:rsidTr="00D667F6">
        <w:trPr>
          <w:trHeight w:val="465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2016/17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2017/18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2018/19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</w:tr>
      <w:tr w:rsidR="00D667F6" w:rsidRPr="00D667F6" w:rsidTr="00D667F6">
        <w:trPr>
          <w:trHeight w:val="450"/>
          <w:tblCellSpacing w:w="0" w:type="dxa"/>
        </w:trPr>
        <w:tc>
          <w:tcPr>
            <w:tcW w:w="21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F6" w:rsidRPr="00D667F6" w:rsidRDefault="00D667F6" w:rsidP="00BF3F20">
            <w:pPr>
              <w:shd w:val="clear" w:color="auto" w:fill="FFFFFF" w:themeFill="background1"/>
              <w:spacing w:before="30" w:after="30" w:line="312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</w:pPr>
            <w:r w:rsidRPr="00D667F6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</w:tr>
    </w:tbl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Обязательное ведение ФГОС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Введение ФГОС по мере готовности</w:t>
      </w:r>
      <w:bookmarkStart w:id="0" w:name="_GoBack"/>
      <w:bookmarkEnd w:id="0"/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Продолжение обучения по ФГОС, введенного по мере готовности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b/>
          <w:bCs/>
          <w:color w:val="9A5744"/>
          <w:sz w:val="24"/>
          <w:szCs w:val="24"/>
          <w:lang w:eastAsia="ru-RU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1. Нормативные условия введения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Создание в ОУ рабочей группы по введению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 xml:space="preserve">В устав образовательного учреждения внесены изменения и дополнения в части организации образовательного процесса в связи с переходом на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ООО.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образовательном учреждении разработана ООП в соответствии с требованиями ФГОС ООО.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разработанным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на основе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Утверждение образовательной программы образовательного учреждения осуществляется в соответствии с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уставом образовательного учреждения. 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То есть примерная основная образовательная программа задает общую рамку, исходя из которой образовательное учреждение формирует собственную, «авторскую» образовательную программу.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Важно подчеркнуть, что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учебный план 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утверждается только руководителем образовательного учреждения. Никаких сведений о согласовании с какой-либо организацией быть не должно.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ООП ОУ должны быть учтены следующие требования: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Преемственность: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«переходных» этапов с одной ступени на другую;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соответствие государственным требованиям к содержанию образования, уровню и направленности ООП;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учёт предшествующего позитивного опыта реализации образовательных программ.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Результативность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- совокупность образовательных результатов с описанием уровней их достижения в ходе реализации образовательной программы: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наличие всех трёх групп образовательных результатов (предметных,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 личностных);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процедура системы оценивания результатов;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ориентация работы учителя и учащихся на фиксацию индивидуального прогресса учащихся;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направленность контрольно-измерительных материалов, соотношение урочных и внеурочных занятий, направленность вариативной части учебного плана;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содержание учебного плана;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– содержание рабочих учебных программ;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структура расписания учебных занятий;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акцент в проектировании образовательного процесса на современные образовательные технологии;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использование информационно-образовательной среды ОУ;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наличие мониторинга реализации ООП, его описание.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Эффективность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– комплекс мер, направленных на минимизацию (оптимизацию) временных затрат для достижения конечных результатов реализации образовательной программы: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соотношение в учебном плане часов на коллективную и самостоятельную работу учащихся;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соотношение урочных и внеурочных занятий;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увеличение доли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внеучебной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деятельности в учебном плане;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индивидуальных маршрутов (траекторий) и индивидуальных образовательных программ учащихся;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место информационно-коммуникационных технологий в рабочих учебных программах;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место домашних заданий в календарно-тематических планах рабочих учебных программ;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в ООП разных образовательных мест для детских проб и действий;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наличие мониторинговых исследований на предмет повышения эффективности реализации ООП.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Доступность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в ООП возможности использования разных форм, средств и методов обучения при изучении того или иного учебного предмета;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наличие в системе оценивания выполнения учащимися ООП учёта (взаимозачета) учебных 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внеучебных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достижений учащихся за пределами образовательного учреждения;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наличие интеграционных процессов в ООП между основным и дополнительным образованием.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spellStart"/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Адаптированность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– сформированный комплекс рабочих учебных 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внеучебных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учёт возрастных возможностей учащихся через набор определенных видов деятельности;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набор задач для учащихся и педагогов;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учёт соотношения затрат на разные формы занятий с учетом возраста и их приоритетов.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spellStart"/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lastRenderedPageBreak/>
        <w:t>Инновационность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подробная и детальная проработка планируемых нововведений;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опора на стратегию системных нововведений, системный характер планируемых изменений;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учёт возможных рисков и путей их минимизации;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мониторинг инновационного шага.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Уникальность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(индивидуальность) – нацеленность на решение специфических проблем школы при максимальном учёте и отражении её особенностей: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учёт социума (региональных особенностей);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авторских «ходов»;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соответствие целей и задач ООП реальной образовательной ситуации;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возможность включения ОУ в сетевое взаимодействие;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образовательных модулей, курсов и т.п. других образовательных учреждений;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продуманность способов представления ООП и ее результатов;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открытость ООП для критики, доработки и коррекции в ходе </w:t>
      </w:r>
      <w:proofErr w:type="gram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реализации .</w:t>
      </w:r>
      <w:proofErr w:type="gram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spellStart"/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Ресурсность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spellStart"/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Инструментальность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(управляемость):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наличие научно-организационного обеспечения, способов и плана действий по реализации программы;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контролируемость ООП;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постоянное управленческое сопровождение реализации программы.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Полнота реализации: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– охват всех сторон деятельности школы в соответствии с требованиями ФГОС;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– соответствие структуры ООП установленным требованиям.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2. Наличие приказов, регламентирующих введение ФГОС в общеобразовательном учреждении: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 переходе ОУ на обучение по ФГОС ООО;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 разработке образовательной программы основного общего образования на 2012-2013 уч. </w:t>
      </w:r>
      <w:proofErr w:type="gram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год ;</w:t>
      </w:r>
      <w:proofErr w:type="gram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об использовании модели (ей) внеурочной деятельности в основной школе;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об утверждении программы ОУ по повышению уровня профессионального мастерства педагогических работников;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об утверждении плана-графика по подготовке к введению ФГОС ООО; о проведении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внутришкольного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контроля по подготовке к введению ФГОС ООО; </w:t>
      </w:r>
    </w:p>
    <w:p w:rsidR="00D667F6" w:rsidRPr="00D667F6" w:rsidRDefault="00D667F6" w:rsidP="00BF3F2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о внесении изменений в должностные инструкции (учителей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Разработан план (раздел плана) методической работы, обеспечивающей сопровождение введения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Составлен план-график поэтапного повышения квалификации учителей основной школы (по мере введения ФГОС ООО).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Наличие утвержденного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и обоснованного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списка учебников для реализации ФГОС основного общего образования.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Разработана инструкция по охране труда с учётом требований ФГОС ООО в части информационно-образовательной среды образовательного учреждения.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Разработана инструкция по ведению педагогами рабочей документации в условиях реализации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Внесены изменения (дополнения) в другие локальные акты ОУ.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3. Финансово-экономические условия введения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школьное Положение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 инструментов оценки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умений (умений планировать свои действия, оценивать их самостоятельно, работать в группе и пр.)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школьное Положение об оплате труда педагогических работников при начислении базовой части заработной платы планируется внести пункт: применяет ли педагог инструменты оценки динамики индивидуальных достижений обучающихся.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школьное Положение об оплате труда педагогических работников внесены изменения/дополнения, регламентирующие при начислении стимулирующей части заработной платы учет динамики индивидуальных достижений, которые демонстрируют обучающиеся в области предметных 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достижений.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Определен объем расходов, необходимый для реализации ООП ООО и достижения планируемых результатов, а также механизма их формирования.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4. Методическое обеспечение введения ФГОС ООО.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общем количестве часов в расписании в неделю должны быть выделены часы внеурочных занятий (проекты, экскурсии, лаборатории, мастерские и пр.) </w:t>
      </w: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по учебным предметам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 часы на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внеучебную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деятельность (духовно-нравственное воспитание и пр.).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ходе введения ФГОС ООО возможно использование нелинейного расписания. Нелинейное (динамическое) расписание занятий:</w:t>
      </w:r>
    </w:p>
    <w:p w:rsidR="00D667F6" w:rsidRPr="00D667F6" w:rsidRDefault="00D667F6" w:rsidP="00BF3F20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является подвижным;</w:t>
      </w:r>
    </w:p>
    <w:p w:rsidR="00D667F6" w:rsidRPr="00D667F6" w:rsidRDefault="00D667F6" w:rsidP="00BF3F20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разноуровневые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учебные группы;</w:t>
      </w:r>
    </w:p>
    <w:p w:rsidR="00D667F6" w:rsidRPr="00D667F6" w:rsidRDefault="00D667F6" w:rsidP="00BF3F20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для учащихся обеспечена возможность самим выбирать занятия, как по интересам, так и возможность посещать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разноуровневые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занятия для повышения эффективности и качества освоения основных предметов.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Деятельность учащихся по выполнению индивидуальных и групповых проектов должна быть включена в расписание основной ступени общего образования.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Возможна реализация современной модели взаимодействия учреждений общего и дополнительного образования детей, культуры, спорта и т.п., обеспечивающих организацию внеурочной деятельности.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Внеурочная деятельность в образовательном учреждении может осуществляться через: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внутришкольная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система дополнительного образования);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организацию деятельности групп продленного дня;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D667F6" w:rsidRPr="00D667F6" w:rsidRDefault="00D667F6" w:rsidP="00BF3F20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Образовательное учреждение должно использовать современные формы представления детских результатов, в том числе портфолио (эти данные собираются в рамках мониторинга Национальной образовательной инициативы «Наша новая школа»), позволяющее оценить достижения ребенка по отдельным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метапредметным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умениям.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lastRenderedPageBreak/>
        <w:t xml:space="preserve">5. Кадровые условия введения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«Уровень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аттестации» (Приказ Министерства образования и науки Российской Федерации от «17» декабря 2010 г. № 1897).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образовательном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оценки и фиксации динамики индивидуальных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достижений (умения планировать свою деятельность, контролировать и оценивать себя, моделировать, работать в группе и пр.).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метапредметных</w:t>
      </w:r>
      <w:proofErr w:type="spellEnd"/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, а также предметных и личностных результатов).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 xml:space="preserve">6. Информационные и материально-технические условия введения ФГОС ООО. 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ОУ должна быть организована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Информация на сайте ОУ должна регулярно обновляться.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 сайте ОУ должны быть опубликованы текущие документы ОУ: планы, отчеты, протоколы заседаний общественных управляющих советов и т.п. Кроме того, должны быть отражены виды проектной деятельности, реализуемой в ОУ, с регулярными обновлениями получаемых результатов.</w:t>
      </w:r>
    </w:p>
    <w:p w:rsidR="00D667F6" w:rsidRPr="00D667F6" w:rsidRDefault="00D667F6" w:rsidP="00BF3F20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 сайте школы можно разместить нелинейное расписание. Сайт образовательного учреждения может быть площадкой для диалога участников образовательного процесса (педагогов, родителей, обучающихся). </w:t>
      </w:r>
    </w:p>
    <w:p w:rsidR="00D667F6" w:rsidRPr="00D667F6" w:rsidRDefault="00D667F6" w:rsidP="00BF3F20">
      <w:pPr>
        <w:shd w:val="clear" w:color="auto" w:fill="FFFFFF" w:themeFill="background1"/>
        <w:spacing w:before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ОУ должны быть проведены родительские собрания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интересов обучающихся ОУ и запросов родителей по содержанию части учебного плана, </w:t>
      </w:r>
      <w:r w:rsidRPr="00D667F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формируемой участниками образовательного процесса, а также плана внеурочной деятельности</w:t>
      </w:r>
    </w:p>
    <w:p w:rsidR="009E32B3" w:rsidRDefault="009E32B3" w:rsidP="00BF3F20">
      <w:pPr>
        <w:shd w:val="clear" w:color="auto" w:fill="FFFFFF" w:themeFill="background1"/>
      </w:pPr>
    </w:p>
    <w:sectPr w:rsidR="009E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06D"/>
    <w:multiLevelType w:val="multilevel"/>
    <w:tmpl w:val="FF7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D2468"/>
    <w:multiLevelType w:val="multilevel"/>
    <w:tmpl w:val="A70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63EAC"/>
    <w:multiLevelType w:val="multilevel"/>
    <w:tmpl w:val="11A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81EF2"/>
    <w:multiLevelType w:val="multilevel"/>
    <w:tmpl w:val="C16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D"/>
    <w:rsid w:val="003B14FB"/>
    <w:rsid w:val="009E32B3"/>
    <w:rsid w:val="00BF3F20"/>
    <w:rsid w:val="00D667F6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B656F5-202E-4488-B80D-334B29D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67F6"/>
    <w:rPr>
      <w:i/>
      <w:iCs/>
    </w:rPr>
  </w:style>
  <w:style w:type="character" w:styleId="a4">
    <w:name w:val="Strong"/>
    <w:basedOn w:val="a0"/>
    <w:uiPriority w:val="22"/>
    <w:qFormat/>
    <w:rsid w:val="00D667F6"/>
    <w:rPr>
      <w:b/>
      <w:bCs/>
      <w:color w:val="9A5744"/>
    </w:rPr>
  </w:style>
  <w:style w:type="paragraph" w:styleId="a5">
    <w:name w:val="Normal (Web)"/>
    <w:basedOn w:val="a"/>
    <w:uiPriority w:val="99"/>
    <w:unhideWhenUsed/>
    <w:rsid w:val="00D667F6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04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958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Dim X</cp:lastModifiedBy>
  <cp:revision>3</cp:revision>
  <cp:lastPrinted>2013-01-17T06:47:00Z</cp:lastPrinted>
  <dcterms:created xsi:type="dcterms:W3CDTF">2013-01-17T06:28:00Z</dcterms:created>
  <dcterms:modified xsi:type="dcterms:W3CDTF">2014-09-10T17:17:00Z</dcterms:modified>
</cp:coreProperties>
</file>